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80" w:rsidRPr="0096009F" w:rsidRDefault="00FA1E80" w:rsidP="0096009F">
      <w:pPr>
        <w:pStyle w:val="Default"/>
        <w:jc w:val="center"/>
        <w:rPr>
          <w:b/>
          <w:sz w:val="32"/>
          <w:szCs w:val="32"/>
        </w:rPr>
      </w:pPr>
      <w:r w:rsidRPr="0096009F">
        <w:rPr>
          <w:b/>
          <w:sz w:val="32"/>
          <w:szCs w:val="32"/>
        </w:rPr>
        <w:t>КОНТРОЛЬНО-СЧЕТНАЯ ПАЛАТА РУЗСКОГО ГОРОДСКОГО ОКРУГА МОСКОВСКОЙ ОБЛАСТИ</w:t>
      </w: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6009F">
        <w:rPr>
          <w:rFonts w:ascii="Times New Roman" w:hAnsi="Times New Roman"/>
          <w:color w:val="000000"/>
          <w:sz w:val="27"/>
          <w:szCs w:val="27"/>
        </w:rPr>
        <w:t> </w:t>
      </w:r>
    </w:p>
    <w:p w:rsidR="00FA1E80" w:rsidRPr="0096009F" w:rsidRDefault="00FA1E80" w:rsidP="0096009F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96009F">
        <w:rPr>
          <w:rFonts w:ascii="Times New Roman" w:hAnsi="Times New Roman"/>
          <w:color w:val="000000"/>
          <w:sz w:val="27"/>
          <w:szCs w:val="27"/>
        </w:rPr>
        <w:t> </w:t>
      </w:r>
    </w:p>
    <w:p w:rsidR="00FA1E80" w:rsidRPr="0096009F" w:rsidRDefault="00FA1E80" w:rsidP="0096009F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96009F">
        <w:rPr>
          <w:rFonts w:ascii="Times New Roman" w:hAnsi="Times New Roman" w:cs="Times New Roman"/>
          <w:bCs w:val="0"/>
          <w:sz w:val="32"/>
          <w:szCs w:val="32"/>
        </w:rPr>
        <w:t>СВМФК КСП – 18</w:t>
      </w:r>
    </w:p>
    <w:p w:rsidR="00FA1E80" w:rsidRPr="0096009F" w:rsidRDefault="00FA1E80" w:rsidP="0096009F">
      <w:pPr>
        <w:pStyle w:val="Heading3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FA1E80" w:rsidRPr="0096009F" w:rsidRDefault="00FA1E80" w:rsidP="0096009F">
      <w:pPr>
        <w:pStyle w:val="Heading3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96009F">
        <w:rPr>
          <w:rFonts w:ascii="Times New Roman" w:hAnsi="Times New Roman" w:cs="Times New Roman"/>
          <w:sz w:val="27"/>
          <w:szCs w:val="27"/>
        </w:rPr>
        <w:t>СТАНДАРТ ВНЕШНЕГО МУНИЦИПАЛЬНОГО</w:t>
      </w:r>
    </w:p>
    <w:p w:rsidR="00FA1E80" w:rsidRPr="0096009F" w:rsidRDefault="00FA1E80" w:rsidP="0096009F">
      <w:pPr>
        <w:pStyle w:val="Heading3"/>
        <w:spacing w:before="0" w:after="0"/>
        <w:jc w:val="center"/>
        <w:rPr>
          <w:rFonts w:ascii="Times New Roman" w:hAnsi="Times New Roman" w:cs="Times New Roman"/>
          <w:sz w:val="27"/>
          <w:szCs w:val="27"/>
        </w:rPr>
      </w:pPr>
      <w:r w:rsidRPr="0096009F">
        <w:rPr>
          <w:rFonts w:ascii="Times New Roman" w:hAnsi="Times New Roman" w:cs="Times New Roman"/>
          <w:sz w:val="27"/>
          <w:szCs w:val="27"/>
        </w:rPr>
        <w:t>ФИНАНСОВОГО КОНТРОЛЯ</w:t>
      </w:r>
    </w:p>
    <w:p w:rsidR="00FA1E80" w:rsidRPr="0096009F" w:rsidRDefault="00FA1E80" w:rsidP="0096009F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6009F">
        <w:rPr>
          <w:rFonts w:ascii="Times New Roman" w:hAnsi="Times New Roman"/>
          <w:b/>
          <w:sz w:val="28"/>
          <w:szCs w:val="28"/>
        </w:rPr>
        <w:t>«Экспертиза проекта вносимых изменений в бюджет Рузского городского округа на текущий финансовый год и плановый период»</w:t>
      </w:r>
    </w:p>
    <w:p w:rsidR="00FA1E80" w:rsidRDefault="00FA1E80" w:rsidP="0096009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6009F">
        <w:rPr>
          <w:rFonts w:ascii="Times New Roman" w:hAnsi="Times New Roman"/>
          <w:color w:val="000000"/>
        </w:rPr>
        <w:t xml:space="preserve"> (утвержден Распоряжением Контрольно-счетной палаты </w:t>
      </w: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6009F">
        <w:rPr>
          <w:rFonts w:ascii="Times New Roman" w:hAnsi="Times New Roman"/>
          <w:color w:val="000000"/>
        </w:rPr>
        <w:t xml:space="preserve">Рузского городского округа Московской области </w:t>
      </w: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6009F">
        <w:rPr>
          <w:rFonts w:ascii="Times New Roman" w:hAnsi="Times New Roman"/>
          <w:color w:val="000000"/>
        </w:rPr>
        <w:t>от 30.11.2017г. №  39)</w:t>
      </w: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A1E80" w:rsidRPr="0096009F" w:rsidRDefault="00FA1E80" w:rsidP="0096009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A1E80" w:rsidRPr="0096009F" w:rsidRDefault="00FA1E80" w:rsidP="0096009F">
      <w:pPr>
        <w:pStyle w:val="Style2"/>
        <w:widowControl/>
        <w:tabs>
          <w:tab w:val="left" w:pos="8505"/>
        </w:tabs>
        <w:spacing w:line="240" w:lineRule="auto"/>
        <w:ind w:right="1418"/>
        <w:rPr>
          <w:rStyle w:val="FontStyle14"/>
          <w:sz w:val="28"/>
          <w:szCs w:val="28"/>
        </w:rPr>
      </w:pPr>
    </w:p>
    <w:p w:rsidR="00FA1E80" w:rsidRPr="0096009F" w:rsidRDefault="00FA1E80" w:rsidP="0096009F">
      <w:pPr>
        <w:pStyle w:val="Style2"/>
        <w:widowControl/>
        <w:tabs>
          <w:tab w:val="left" w:pos="8505"/>
        </w:tabs>
        <w:spacing w:line="240" w:lineRule="auto"/>
        <w:ind w:right="1418"/>
        <w:rPr>
          <w:rStyle w:val="FontStyle14"/>
          <w:sz w:val="28"/>
          <w:szCs w:val="28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FA1E80" w:rsidRPr="0096009F" w:rsidRDefault="00FA1E80" w:rsidP="00960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09F">
        <w:rPr>
          <w:rFonts w:ascii="Times New Roman" w:hAnsi="Times New Roman"/>
          <w:b/>
          <w:bCs/>
          <w:sz w:val="24"/>
          <w:szCs w:val="24"/>
        </w:rPr>
        <w:t> </w:t>
      </w: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6009F">
        <w:rPr>
          <w:rFonts w:ascii="Times New Roman" w:hAnsi="Times New Roman"/>
          <w:sz w:val="27"/>
          <w:szCs w:val="27"/>
        </w:rPr>
        <w:t>2017</w:t>
      </w:r>
    </w:p>
    <w:p w:rsidR="00FA1E80" w:rsidRPr="0096009F" w:rsidRDefault="00FA1E80" w:rsidP="0096009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6009F">
        <w:rPr>
          <w:rFonts w:ascii="Times New Roman" w:hAnsi="Times New Roman"/>
          <w:sz w:val="28"/>
          <w:szCs w:val="28"/>
        </w:rPr>
        <w:t>Содержание</w:t>
      </w: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pStyle w:val="ListParagraph"/>
        <w:numPr>
          <w:ilvl w:val="0"/>
          <w:numId w:val="15"/>
        </w:numPr>
        <w:tabs>
          <w:tab w:val="left" w:pos="284"/>
          <w:tab w:val="left" w:pos="5387"/>
          <w:tab w:val="left" w:pos="5529"/>
        </w:tabs>
        <w:spacing w:after="0" w:line="240" w:lineRule="auto"/>
        <w:ind w:left="0" w:hanging="720"/>
        <w:rPr>
          <w:rFonts w:ascii="Times New Roman" w:hAnsi="Times New Roman"/>
          <w:sz w:val="28"/>
          <w:szCs w:val="28"/>
        </w:rPr>
      </w:pPr>
      <w:r w:rsidRPr="0096009F">
        <w:rPr>
          <w:rFonts w:ascii="Times New Roman" w:hAnsi="Times New Roman"/>
          <w:sz w:val="28"/>
          <w:szCs w:val="28"/>
        </w:rPr>
        <w:t>Общие положения……………………………………………………………… 3</w:t>
      </w:r>
    </w:p>
    <w:p w:rsidR="00FA1E80" w:rsidRPr="0096009F" w:rsidRDefault="00FA1E80" w:rsidP="0096009F">
      <w:pPr>
        <w:pStyle w:val="ListParagraph"/>
        <w:tabs>
          <w:tab w:val="left" w:pos="284"/>
          <w:tab w:val="left" w:pos="5387"/>
          <w:tab w:val="left" w:pos="552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96009F">
        <w:rPr>
          <w:rFonts w:ascii="Times New Roman" w:hAnsi="Times New Roman"/>
          <w:sz w:val="28"/>
          <w:szCs w:val="28"/>
        </w:rPr>
        <w:t>Требования к проведению экспертизы проекта вносимых</w:t>
      </w:r>
      <w:bookmarkStart w:id="0" w:name="_GoBack"/>
      <w:bookmarkEnd w:id="0"/>
      <w:r w:rsidRPr="0096009F">
        <w:rPr>
          <w:rFonts w:ascii="Times New Roman" w:hAnsi="Times New Roman"/>
          <w:sz w:val="28"/>
          <w:szCs w:val="28"/>
        </w:rPr>
        <w:t xml:space="preserve"> изменений в бюджет </w:t>
      </w:r>
    </w:p>
    <w:p w:rsidR="00FA1E80" w:rsidRPr="0096009F" w:rsidRDefault="00FA1E80" w:rsidP="0096009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Рузского городского округа </w:t>
      </w:r>
      <w:r w:rsidRPr="0096009F">
        <w:rPr>
          <w:rFonts w:ascii="Times New Roman" w:hAnsi="Times New Roman"/>
          <w:sz w:val="28"/>
          <w:szCs w:val="28"/>
        </w:rPr>
        <w:t xml:space="preserve"> на текущий финансовый год </w:t>
      </w:r>
    </w:p>
    <w:p w:rsidR="00FA1E80" w:rsidRPr="0096009F" w:rsidRDefault="00FA1E80" w:rsidP="0096009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6009F">
        <w:rPr>
          <w:rFonts w:ascii="Times New Roman" w:hAnsi="Times New Roman"/>
          <w:sz w:val="28"/>
          <w:szCs w:val="28"/>
        </w:rPr>
        <w:t>и плановый период……………………………………………………………….. 4</w:t>
      </w:r>
    </w:p>
    <w:p w:rsidR="00FA1E80" w:rsidRPr="0096009F" w:rsidRDefault="00FA1E80" w:rsidP="0096009F">
      <w:pPr>
        <w:tabs>
          <w:tab w:val="left" w:pos="1237"/>
          <w:tab w:val="left" w:pos="5387"/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1237"/>
          <w:tab w:val="left" w:pos="5387"/>
          <w:tab w:val="left" w:pos="55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6009F">
        <w:rPr>
          <w:rFonts w:ascii="Times New Roman" w:hAnsi="Times New Roman"/>
          <w:sz w:val="28"/>
          <w:szCs w:val="28"/>
        </w:rPr>
        <w:t>3. Требования к оформлению результатов экспертизы………………………… 7</w:t>
      </w:r>
      <w:r w:rsidRPr="0096009F">
        <w:rPr>
          <w:rFonts w:ascii="Times New Roman" w:hAnsi="Times New Roman"/>
          <w:sz w:val="28"/>
          <w:szCs w:val="28"/>
        </w:rPr>
        <w:tab/>
      </w:r>
      <w:r w:rsidRPr="0096009F">
        <w:rPr>
          <w:rFonts w:ascii="Times New Roman" w:hAnsi="Times New Roman"/>
          <w:sz w:val="28"/>
          <w:szCs w:val="28"/>
        </w:rPr>
        <w:tab/>
      </w: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tabs>
          <w:tab w:val="left" w:pos="5387"/>
          <w:tab w:val="left" w:pos="5529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1E80" w:rsidRPr="0096009F" w:rsidRDefault="00FA1E80" w:rsidP="0096009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009F">
        <w:rPr>
          <w:rFonts w:ascii="Times New Roman" w:hAnsi="Times New Roman"/>
        </w:rPr>
        <w:br w:type="page"/>
      </w:r>
    </w:p>
    <w:p w:rsidR="00FA1E80" w:rsidRPr="0096009F" w:rsidRDefault="00FA1E80" w:rsidP="0096009F">
      <w:pPr>
        <w:pStyle w:val="ListParagraph"/>
        <w:numPr>
          <w:ilvl w:val="0"/>
          <w:numId w:val="13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009F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FA1E80" w:rsidRPr="0096009F" w:rsidRDefault="00FA1E80" w:rsidP="0096009F">
      <w:pPr>
        <w:pStyle w:val="ListParagraph"/>
        <w:spacing w:after="0" w:line="240" w:lineRule="auto"/>
        <w:ind w:left="0" w:firstLine="851"/>
        <w:rPr>
          <w:rFonts w:ascii="Times New Roman" w:hAnsi="Times New Roman"/>
          <w:sz w:val="20"/>
          <w:szCs w:val="20"/>
          <w:lang w:eastAsia="ru-RU"/>
        </w:rPr>
      </w:pP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1.1. Стандарт внешнего муниципального финансового контроля «Экспертиза проекта вносимых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период» (далее – Стандарт) подготовлен для организации исполнения статей 157, 268.1 Бюджетного кодекса Российской Федерации, пункта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1 статьи 17.1 Федерального закона от 06.10.2003 № 131-ФЗ «Об общих принципах организации местного самоуправления в Российской Федерации», пункта 2 статьи 9 и статьи 11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Устава </w:t>
      </w:r>
      <w:r>
        <w:rPr>
          <w:rFonts w:ascii="Times New Roman" w:hAnsi="Times New Roman"/>
          <w:sz w:val="27"/>
          <w:szCs w:val="27"/>
          <w:lang w:eastAsia="ru-RU"/>
        </w:rPr>
        <w:t>Рузского городского округа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, Положения о бюджетном процессе 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Рузском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городском округе </w:t>
      </w:r>
      <w:r>
        <w:rPr>
          <w:rFonts w:ascii="Times New Roman" w:hAnsi="Times New Roman"/>
          <w:sz w:val="27"/>
          <w:szCs w:val="27"/>
          <w:lang w:eastAsia="ru-RU"/>
        </w:rPr>
        <w:t>Московской области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(далее – Положение о бюджетном процессе), статьей 8 Положения о Контрольно-счетной палате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Московской области, утвержденного решением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Московской области от </w:t>
      </w:r>
      <w:r>
        <w:rPr>
          <w:rFonts w:ascii="Times New Roman" w:hAnsi="Times New Roman"/>
          <w:sz w:val="27"/>
          <w:szCs w:val="27"/>
          <w:lang w:eastAsia="ru-RU"/>
        </w:rPr>
        <w:t>21.06</w:t>
      </w:r>
      <w:r w:rsidRPr="0096009F">
        <w:rPr>
          <w:rFonts w:ascii="Times New Roman" w:hAnsi="Times New Roman"/>
          <w:sz w:val="27"/>
          <w:szCs w:val="27"/>
          <w:lang w:eastAsia="ru-RU"/>
        </w:rPr>
        <w:t>.2017 № </w:t>
      </w:r>
      <w:r>
        <w:rPr>
          <w:rFonts w:ascii="Times New Roman" w:hAnsi="Times New Roman"/>
          <w:sz w:val="27"/>
          <w:szCs w:val="27"/>
          <w:lang w:eastAsia="ru-RU"/>
        </w:rPr>
        <w:t>51/96</w:t>
      </w:r>
      <w:r w:rsidRPr="0096009F">
        <w:rPr>
          <w:rFonts w:ascii="Times New Roman" w:hAnsi="Times New Roman"/>
          <w:sz w:val="27"/>
          <w:szCs w:val="27"/>
          <w:lang w:eastAsia="ru-RU"/>
        </w:rPr>
        <w:t>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КСО субъектов Российской Федерации и муниципальных образований (утв. Коллегией Счетной палаты Российской Федерации протокол от 17.10.2014 № 47К (993)).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 Стандарт не распространяет свое действие на проведение экспертизы проекта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очередной финансовый год и плановый период, внешней проверки отчета об исполнении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за истекший финансовый год, экспертизы муниципальных программ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, экспертизы проектов решений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1.3. Стандарт определяет общие требования и принципы проведения Контрольно-счетной палатой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Московской области (далее – Контрольно-счетная палата) экспертизы проекта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решение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бюджете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период, документов и материалов, представляемых одновременно с ним в Совет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(далее – Проект внесения изменений в бюджет городского округа) в пределах полномочий и задач, возложенных на Контрольно-счетную палату.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1.4. Стандарт предназначен для использования сотрудниками Контрольно-счетной палаты при организации и проведении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период, проведения экспертизы и подготовки соответствующего заключения.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1.5. Целью Стандарта является установление единых принципов, правил и процедур проведения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1.6. Задачи, решаемые Стандартом: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определение основных принципов и этапов проведения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на плановый период;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установление требований к содержанию экспертно-аналитического мероприятия и проверок обоснованности вносимых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на плановый период;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определение структуры, содержания и основных требований к заключению Контрольно-счетной палаты на проект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установление взаимодействия между направлениями деятельности Контрольно-счетной палаты в ходе проведения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1.7. При проведении экспертизы Контрольно-счетной палаты в рамках своей компетенции вправе отражать возможные коррупциогенные риски, усматриваемые в ходе ее проведения.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1.8. 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закона от 27.07.2006 № 152-ФЗ «О персональных данных» должностные лица главных распорядителей, распорядителей, получателей бюджетных средств по требованию сотрудников Контрольно-счетной палаты, осуществляющих экспертизу, обязаны предоставлять запрашиваемую ими информацию, относящуюся к персональным данным. При этом получение согласия субъектов персональных данных на обработку персональных данных не требуется.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A1E80" w:rsidRPr="0096009F" w:rsidRDefault="00FA1E80" w:rsidP="0096009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96009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2. Требования к проведению экспертизы проекта вносимых изменений в бюджет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на текущий финансовый год и плановый период</w:t>
      </w:r>
    </w:p>
    <w:p w:rsidR="00FA1E80" w:rsidRPr="0096009F" w:rsidRDefault="00FA1E80" w:rsidP="0096009F">
      <w:pPr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2.1. Предварительный контроль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 является экспертно-аналитическим мероприятием, направленным на осуществление анализа обоснованности показателей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период, наличия и состояния нормативной методической базы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и подготовки заключения Контрольно-счетной палаты на проект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2.2. Целью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 является определение достоверности и обоснованности показателей вносимых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2.3. Задачами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 являются: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период, а также документов и материалов, представляемых одновременно с ним в Совет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определение обоснованности, целесообразности и достоверности показателей, содержащихся в проекте решения о внесении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период, документах и материалах, представляемых одновременно с ним.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2.4. Предметом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являются проект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период, документы и материалы, представляемые одновременно с ним в Совет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, и, иные документы и информация, запрашиваемые Контрольно-счетной палатой для проведения экспертизы.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2.5. При осуществлении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на плановый период проверяется и анализируется соответствие вносимых изменений в бюджет города положениям Бюджетного кодекса РФ и требованиям Положения о бюджетном процессе по следующим позициям: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2.5.1. Соблюдение принципов бюджетной системы Российской Федерации определенных статьей 28 и установленных статьями 29-38.2 Бюджетного кодекса РФ.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2.5.2. При оценке и анализе доходов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следует обратить внимание на порядок зачисления доходов в бюджет, определенный в статьях 40, 41, 42, 46, 61.2, 62, 64 Бюджетного кодекса РФ, изменение налоговых и неналоговых доходов местного бюджета.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2.5.3. При оценке и анализе расходов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обратить внимание на следующее: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обеспечение закрепленного в статье 37 Бюджетного кодекса РФ принципа достоверности бюджета, который означает, в том числе реалистичность расчета расходов бюджета;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соблюдение положений формирования расходов бюджета, установленных в статье 65 Бюджетного кодекса РФ, согласно которой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обоснование бюджетных ассигнований в соответствии со статьями 69, 69.1, 70, 74, 74.1, 78, 78.1, 79, 80, 81 и 83 Бюджетного кодекса РФ;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изменения предельных объемов финансирования действующих и принимаемых расходных обязательств;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обоснованность вносимых изменений в целевые показатели и бюджетные ассигнования муниципальных программ.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2.5.4. При оценке и анализе межбюджетных отношений следует обратить внимание на соблюдение условий предоставления межбюджетных трансфертов из областного бюджета, а также форм межбюджетных трансфертов, предоставляемых из областного бюджета в соответствии со статьями 136, 137, 138, 139, 139.1, 140 Бюджетного кодекса РФ.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2.5.5. При оценке и анализе источников финансирования дефицита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, муниципального долга отразить соблюдение требований следующих статей Бюджетного кодекса РФ: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статьи 32 Бюджетного кодекса РФ по полноте отражения доходов, расходов и источников финансирования дефицитов бюджетов, статьи 92.1 Бюджетного кодекса РФ по установлению размера дефицита местного бюджета и ограничения по источникам его финансирования, статьи 93.1 Бюджетного кодекса РФ по зачислению средств от продажи акций и иных форм участия в капитале, находящихся в муниципальной собственности, статей 93.2, 93.3 Бюджетного кодекса РФ по предоставлению бюджетных кредитов, статьи 96 Бюджетного кодекса РФ по составу источников финансирования дефицита местного бюджета и утверждению их в решении о бюджете на текущий финансовый год и плановый период;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статей 101 и 102 Бюджетного кодекса РФ по управлению муниципальным долгом и соблюдению ответственности по долговым обязательствам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, статьи 100 Бюджетного кодекса РФ по структуре муниципального долга, видам и срочности долговых обязательств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, статьи 100.1 Бюджетного кодекса РФ по прекращению долговых обязательств субъекта Российской Федерации, выраженных в валюте Российской Федерации, и их списанию с государственного долга субъекта Российской Федерации, статьи 102 Бюджетного кодекса РФ по соблюдению ответственности по долговым обязательствам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, статьи 103 Бюджетного кодекса РФ по осуществлению муниципальных заимствований, статьи 105 Бюджетного кодекса РФ по реструктуризации долга, статей 106 и 107 Бюджетного кодекса РФ по предельному объему заимствований и предельному объему муниципального долга, статей 110.1, 110.2 Бюджетного кодекса РФ по программам муниципальных внутренних заимствований  и муниципальных гарантий и внесению изменений в указанные программы, статей 113, 114, 115, 115.1, 115.2 и 117 Бюджетного кодекса РФ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условий предоставления муниципальных гарантий.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2.5.6. Проанализировать соблюдение требований к составу документов и материалов, представляемых одновременно с проектом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в соответствии с Положением о бюджетном процессе.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2.6. Методические подходы к осуществлению предварительного контроля внесения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 по основным вопросам состоят из следующих блоков: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2.6.1. Проверка и анализ обоснованности и достоверности изменений доходных статей бюджета на текущий финансовый год и плановый период предусматривает: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факторный анализ изменения доходных источников бюджета на текущий финансовый год и плановый период по сравнению с их оценкой в очередном году;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,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анализ изменений межбюджетных трансфертов.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2.6.2. Проверка и анализ полноты отражения и достоверности изменений расходов бюджета на текущий финансовый год и на плановый период предусматривает: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анализ изменения бюджетных ассигнований, направляемых на исполнение муниципальных программ;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анализ изменения бюджетных ассигнований, направляемых на исполнение публичных нормативных обязательств;</w:t>
      </w:r>
    </w:p>
    <w:p w:rsidR="00FA1E80" w:rsidRPr="0096009F" w:rsidRDefault="00FA1E80" w:rsidP="0096009F">
      <w:pPr>
        <w:spacing w:after="0" w:line="240" w:lineRule="auto"/>
        <w:ind w:firstLine="851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анализ изменения непрограммных расходов.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2.6.3. Проверка и анализ обоснованности и достоверности изменения источников финансирования дефицита бюджета и предельных размеров муниципального долга предусматривают: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оценку обоснованности и достоверности изменения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оценку обоснованности изменения источников внутреннего финансирования дефицита бюджета и структуры источников финансирования дефицита бюджета.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A1E80" w:rsidRPr="0096009F" w:rsidRDefault="00FA1E80" w:rsidP="0096009F">
      <w:pPr>
        <w:spacing w:after="0" w:line="240" w:lineRule="auto"/>
        <w:ind w:firstLine="851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b/>
          <w:bCs/>
          <w:sz w:val="27"/>
          <w:szCs w:val="27"/>
          <w:lang w:eastAsia="ru-RU"/>
        </w:rPr>
        <w:t>3. Требования к оформлению результатов экспертизы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3.1. Заключение Контрольно-счетной палаты на проект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 подготавливается на основе: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анализа проекта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бюджет на текущий финансовый год и плановый период;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анализа материалов и документов, представленных администрацией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с проектом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бюджет на текущий финансовый год и плановый период в соответствии с Бюджетным кодексом РФ, Положением о бюджетном процессе;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результатов контроля за исполнением бюджета в текущем году, тематических проверок.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3.2. Структура заключения Контрольно-счетной палаты на проект вносимых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включает в себя следующие основные тематические блоки:</w:t>
      </w:r>
    </w:p>
    <w:p w:rsidR="00FA1E80" w:rsidRPr="0096009F" w:rsidRDefault="00FA1E80" w:rsidP="0096009F">
      <w:pPr>
        <w:spacing w:after="0" w:line="240" w:lineRule="auto"/>
        <w:ind w:firstLine="851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общие положения;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общая характеристика вносимых изменений в параметры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на плановый период;</w:t>
      </w:r>
    </w:p>
    <w:p w:rsidR="00FA1E80" w:rsidRPr="0096009F" w:rsidRDefault="00FA1E80" w:rsidP="0096009F">
      <w:pPr>
        <w:spacing w:after="0" w:line="240" w:lineRule="auto"/>
        <w:ind w:firstLine="851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изменение доходной части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;</w:t>
      </w:r>
    </w:p>
    <w:p w:rsidR="00FA1E80" w:rsidRPr="0096009F" w:rsidRDefault="00FA1E80" w:rsidP="0096009F">
      <w:pPr>
        <w:spacing w:after="0" w:line="240" w:lineRule="auto"/>
        <w:ind w:firstLine="851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изменение расходной части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изменение дефицита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, источников его финансирования, муниципального долга, программы муниципальных заимствований и программ муниципальных гарантий;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текстовые статьи проекта решения Совета депутатов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о внесении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 текущий финансовый год и плановый период;</w:t>
      </w:r>
    </w:p>
    <w:p w:rsidR="00FA1E80" w:rsidRPr="0096009F" w:rsidRDefault="00FA1E80" w:rsidP="0096009F">
      <w:pPr>
        <w:spacing w:after="0" w:line="240" w:lineRule="auto"/>
        <w:ind w:firstLine="851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выводы и предложения.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3.3. В заключении Контрольно-счетной палаты должны быть отражены следующие основные аспекты: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оценка обоснованности изменений показателей (параметров и характеристик)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>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- оценка соответствия изменений бюджета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Бюджетному кодексу РФ и Положению о бюджетном процессе;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оценка обоснованности действующих и принимаемых расходных обязательств в части вносимых изменений;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- предложения Контрольно-счетной палаты по совершенствованию прогнозирования и планирования основных показателей бюджета на текущий финансовый год и плановый период, бюджетного процесса, результативности бюджетных расходов.</w:t>
      </w:r>
    </w:p>
    <w:p w:rsidR="00FA1E80" w:rsidRPr="0096009F" w:rsidRDefault="00FA1E80" w:rsidP="0096009F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 xml:space="preserve">3.4. Заключение Контрольно-счетной палаты по результатам экспертизы проекта вносимых изменений в бюджет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направляется в установленном порядке главе </w:t>
      </w:r>
      <w:r>
        <w:rPr>
          <w:rFonts w:ascii="Times New Roman" w:hAnsi="Times New Roman"/>
          <w:sz w:val="27"/>
          <w:szCs w:val="27"/>
          <w:lang w:eastAsia="ru-RU"/>
        </w:rPr>
        <w:t xml:space="preserve">Рузского городского округа 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 и в Совет депутатов </w:t>
      </w:r>
      <w:r>
        <w:rPr>
          <w:rFonts w:ascii="Times New Roman" w:hAnsi="Times New Roman"/>
          <w:sz w:val="27"/>
          <w:szCs w:val="27"/>
          <w:lang w:eastAsia="ru-RU"/>
        </w:rPr>
        <w:t>Рузского городского округа</w:t>
      </w:r>
      <w:r w:rsidRPr="0096009F">
        <w:rPr>
          <w:rFonts w:ascii="Times New Roman" w:hAnsi="Times New Roman"/>
          <w:sz w:val="27"/>
          <w:szCs w:val="27"/>
          <w:lang w:eastAsia="ru-RU"/>
        </w:rPr>
        <w:t xml:space="preserve">, иным должностным лицам, определяемым председателем Контрольно-счетной палаты. </w:t>
      </w:r>
    </w:p>
    <w:p w:rsidR="00FA1E80" w:rsidRPr="0096009F" w:rsidRDefault="00FA1E80" w:rsidP="0096009F">
      <w:pPr>
        <w:spacing w:after="0" w:line="240" w:lineRule="auto"/>
        <w:ind w:firstLine="851"/>
        <w:rPr>
          <w:rFonts w:ascii="Times New Roman" w:hAnsi="Times New Roman"/>
          <w:sz w:val="27"/>
          <w:szCs w:val="27"/>
          <w:lang w:eastAsia="ru-RU"/>
        </w:rPr>
      </w:pPr>
      <w:r w:rsidRPr="0096009F">
        <w:rPr>
          <w:rFonts w:ascii="Times New Roman" w:hAnsi="Times New Roman"/>
          <w:sz w:val="27"/>
          <w:szCs w:val="27"/>
          <w:lang w:eastAsia="ru-RU"/>
        </w:rPr>
        <w:t> </w:t>
      </w:r>
    </w:p>
    <w:p w:rsidR="00FA1E80" w:rsidRPr="0096009F" w:rsidRDefault="00FA1E80" w:rsidP="0096009F">
      <w:pPr>
        <w:spacing w:after="0" w:line="240" w:lineRule="auto"/>
        <w:ind w:firstLine="851"/>
        <w:rPr>
          <w:rFonts w:ascii="Times New Roman" w:hAnsi="Times New Roman"/>
          <w:sz w:val="27"/>
          <w:szCs w:val="27"/>
        </w:rPr>
      </w:pPr>
    </w:p>
    <w:sectPr w:rsidR="00FA1E80" w:rsidRPr="0096009F" w:rsidSect="0096009F">
      <w:headerReference w:type="default" r:id="rId7"/>
      <w:pgSz w:w="11906" w:h="16838"/>
      <w:pgMar w:top="851" w:right="38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E80" w:rsidRDefault="00FA1E80" w:rsidP="00C56E8B">
      <w:pPr>
        <w:spacing w:after="0" w:line="240" w:lineRule="auto"/>
      </w:pPr>
      <w:r>
        <w:separator/>
      </w:r>
    </w:p>
  </w:endnote>
  <w:endnote w:type="continuationSeparator" w:id="0">
    <w:p w:rsidR="00FA1E80" w:rsidRDefault="00FA1E80" w:rsidP="00C5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E80" w:rsidRDefault="00FA1E80" w:rsidP="00C56E8B">
      <w:pPr>
        <w:spacing w:after="0" w:line="240" w:lineRule="auto"/>
      </w:pPr>
      <w:r>
        <w:separator/>
      </w:r>
    </w:p>
  </w:footnote>
  <w:footnote w:type="continuationSeparator" w:id="0">
    <w:p w:rsidR="00FA1E80" w:rsidRDefault="00FA1E80" w:rsidP="00C5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80" w:rsidRDefault="00FA1E80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FA1E80" w:rsidRDefault="00FA1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5FC"/>
    <w:multiLevelType w:val="multilevel"/>
    <w:tmpl w:val="7282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A1792"/>
    <w:multiLevelType w:val="multilevel"/>
    <w:tmpl w:val="D66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B74BE"/>
    <w:multiLevelType w:val="hybridMultilevel"/>
    <w:tmpl w:val="1B1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959B8"/>
    <w:multiLevelType w:val="multilevel"/>
    <w:tmpl w:val="7ABC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E15379"/>
    <w:multiLevelType w:val="multilevel"/>
    <w:tmpl w:val="32C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D319D"/>
    <w:multiLevelType w:val="multilevel"/>
    <w:tmpl w:val="1F30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B8662A"/>
    <w:multiLevelType w:val="multilevel"/>
    <w:tmpl w:val="6F0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31232"/>
    <w:multiLevelType w:val="multilevel"/>
    <w:tmpl w:val="97E8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D3F0A"/>
    <w:multiLevelType w:val="multilevel"/>
    <w:tmpl w:val="31D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221F2"/>
    <w:multiLevelType w:val="hybridMultilevel"/>
    <w:tmpl w:val="4878A53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43F01033"/>
    <w:multiLevelType w:val="hybridMultilevel"/>
    <w:tmpl w:val="0452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7737ED"/>
    <w:multiLevelType w:val="hybridMultilevel"/>
    <w:tmpl w:val="667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A7B8E"/>
    <w:multiLevelType w:val="hybridMultilevel"/>
    <w:tmpl w:val="144AE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B234E"/>
    <w:multiLevelType w:val="multilevel"/>
    <w:tmpl w:val="9D94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D6AC2"/>
    <w:multiLevelType w:val="multilevel"/>
    <w:tmpl w:val="CBB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9D0"/>
    <w:rsid w:val="00000891"/>
    <w:rsid w:val="0003238D"/>
    <w:rsid w:val="00051A6D"/>
    <w:rsid w:val="00091690"/>
    <w:rsid w:val="00123908"/>
    <w:rsid w:val="001472BC"/>
    <w:rsid w:val="001520FB"/>
    <w:rsid w:val="00184368"/>
    <w:rsid w:val="001D0460"/>
    <w:rsid w:val="001F7CE8"/>
    <w:rsid w:val="00266F6E"/>
    <w:rsid w:val="002763C8"/>
    <w:rsid w:val="002976DE"/>
    <w:rsid w:val="002A71C4"/>
    <w:rsid w:val="002B3107"/>
    <w:rsid w:val="002D0C64"/>
    <w:rsid w:val="002F1C15"/>
    <w:rsid w:val="00317616"/>
    <w:rsid w:val="003226C3"/>
    <w:rsid w:val="0039742E"/>
    <w:rsid w:val="003A7A54"/>
    <w:rsid w:val="003C1210"/>
    <w:rsid w:val="003C33D3"/>
    <w:rsid w:val="003D5288"/>
    <w:rsid w:val="004113E0"/>
    <w:rsid w:val="00456B94"/>
    <w:rsid w:val="00492652"/>
    <w:rsid w:val="004C6463"/>
    <w:rsid w:val="00556BC1"/>
    <w:rsid w:val="00595F3B"/>
    <w:rsid w:val="005E2670"/>
    <w:rsid w:val="00641B0A"/>
    <w:rsid w:val="00703000"/>
    <w:rsid w:val="00736F6E"/>
    <w:rsid w:val="00897F90"/>
    <w:rsid w:val="008C4A49"/>
    <w:rsid w:val="008C60A4"/>
    <w:rsid w:val="008F6DC3"/>
    <w:rsid w:val="0091562C"/>
    <w:rsid w:val="0093265E"/>
    <w:rsid w:val="00944B3C"/>
    <w:rsid w:val="0096009F"/>
    <w:rsid w:val="00961075"/>
    <w:rsid w:val="009660D8"/>
    <w:rsid w:val="009C49D5"/>
    <w:rsid w:val="009E5E11"/>
    <w:rsid w:val="009F6014"/>
    <w:rsid w:val="00A468D8"/>
    <w:rsid w:val="00AF1937"/>
    <w:rsid w:val="00AF5391"/>
    <w:rsid w:val="00B43E6E"/>
    <w:rsid w:val="00B728F9"/>
    <w:rsid w:val="00B760D5"/>
    <w:rsid w:val="00C07E81"/>
    <w:rsid w:val="00C4603B"/>
    <w:rsid w:val="00C52021"/>
    <w:rsid w:val="00C56E8B"/>
    <w:rsid w:val="00C702E1"/>
    <w:rsid w:val="00CB2013"/>
    <w:rsid w:val="00CC7486"/>
    <w:rsid w:val="00CE1FF9"/>
    <w:rsid w:val="00CF041B"/>
    <w:rsid w:val="00D17972"/>
    <w:rsid w:val="00D31E60"/>
    <w:rsid w:val="00D5174D"/>
    <w:rsid w:val="00D559D0"/>
    <w:rsid w:val="00D824C4"/>
    <w:rsid w:val="00D97268"/>
    <w:rsid w:val="00DA7DB7"/>
    <w:rsid w:val="00DB2DC4"/>
    <w:rsid w:val="00E07627"/>
    <w:rsid w:val="00F174E9"/>
    <w:rsid w:val="00F45262"/>
    <w:rsid w:val="00F8474F"/>
    <w:rsid w:val="00FA1E80"/>
    <w:rsid w:val="00FB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1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7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472BC"/>
    <w:rPr>
      <w:rFonts w:ascii="Arial" w:hAnsi="Arial" w:cs="Arial"/>
      <w:b/>
      <w:bCs/>
      <w:sz w:val="26"/>
      <w:szCs w:val="26"/>
      <w:lang w:eastAsia="ru-RU"/>
    </w:rPr>
  </w:style>
  <w:style w:type="paragraph" w:styleId="NormalWeb">
    <w:name w:val="Normal (Web)"/>
    <w:basedOn w:val="Normal"/>
    <w:uiPriority w:val="99"/>
    <w:semiHidden/>
    <w:rsid w:val="00D559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559D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07627"/>
    <w:pPr>
      <w:ind w:left="720"/>
      <w:contextualSpacing/>
    </w:pPr>
  </w:style>
  <w:style w:type="character" w:customStyle="1" w:styleId="a">
    <w:name w:val="Основной текст_"/>
    <w:uiPriority w:val="99"/>
    <w:rsid w:val="00AF1937"/>
  </w:style>
  <w:style w:type="paragraph" w:styleId="Header">
    <w:name w:val="header"/>
    <w:basedOn w:val="Normal"/>
    <w:link w:val="HeaderChar"/>
    <w:uiPriority w:val="99"/>
    <w:rsid w:val="00C5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E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E8B"/>
    <w:rPr>
      <w:rFonts w:cs="Times New Roman"/>
    </w:rPr>
  </w:style>
  <w:style w:type="character" w:customStyle="1" w:styleId="FontStyle14">
    <w:name w:val="Font Style14"/>
    <w:uiPriority w:val="99"/>
    <w:rsid w:val="001472BC"/>
    <w:rPr>
      <w:rFonts w:ascii="Times New Roman" w:hAnsi="Times New Roman"/>
      <w:b/>
      <w:sz w:val="22"/>
    </w:rPr>
  </w:style>
  <w:style w:type="paragraph" w:customStyle="1" w:styleId="Style2">
    <w:name w:val="Style2"/>
    <w:basedOn w:val="Normal"/>
    <w:uiPriority w:val="99"/>
    <w:rsid w:val="001472BC"/>
    <w:pPr>
      <w:widowControl w:val="0"/>
      <w:suppressAutoHyphens/>
      <w:autoSpaceDE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60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2560</Words>
  <Characters>14594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РУЗСКОГО ГОРОДСКОГО ОКРУГА МОСКОВСКОЙ ОБЛАСТИ</dc:title>
  <dc:subject/>
  <dc:creator>Демина</dc:creator>
  <cp:keywords/>
  <dc:description/>
  <cp:lastModifiedBy>USER</cp:lastModifiedBy>
  <cp:revision>2</cp:revision>
  <dcterms:created xsi:type="dcterms:W3CDTF">2017-12-25T13:59:00Z</dcterms:created>
  <dcterms:modified xsi:type="dcterms:W3CDTF">2017-12-25T13:59:00Z</dcterms:modified>
</cp:coreProperties>
</file>